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E3" w:rsidRDefault="003B4BE3" w:rsidP="00AA0FD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Мелітопольський державний педагогічний університет</w:t>
      </w:r>
    </w:p>
    <w:p w:rsidR="003B4BE3" w:rsidRDefault="003B4BE3" w:rsidP="003B4BE3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</w:p>
    <w:p w:rsidR="00AA0FDD" w:rsidRDefault="00AA0FDD" w:rsidP="003B4BE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3B4BE3" w:rsidRDefault="003B4BE3" w:rsidP="003B4BE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ХІМІКО-БІОЛОГІЧНИЙ факультет</w:t>
      </w:r>
    </w:p>
    <w:p w:rsidR="00AA0FDD" w:rsidRDefault="00AA0FDD" w:rsidP="003B4BE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3B4BE3" w:rsidRDefault="003B4BE3" w:rsidP="003B4BE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Кафедра ЕКОЛОГІЇ, загальної біології та раціонального природокористування</w:t>
      </w:r>
    </w:p>
    <w:p w:rsidR="003B4BE3" w:rsidRDefault="003B4BE3" w:rsidP="003B4BE3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0043" w:type="dxa"/>
        <w:tblLayout w:type="fixed"/>
        <w:tblLook w:val="04A0"/>
      </w:tblPr>
      <w:tblGrid>
        <w:gridCol w:w="3360"/>
        <w:gridCol w:w="6683"/>
      </w:tblGrid>
      <w:tr w:rsidR="003B4BE3" w:rsidRPr="0010328A" w:rsidTr="00AA0FDD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Нормативний/вибірковий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Default="007B465A" w:rsidP="007B465A">
            <w:pPr>
              <w:tabs>
                <w:tab w:val="left" w:pos="9623"/>
              </w:tabs>
              <w:spacing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</w:t>
            </w:r>
            <w:r w:rsidR="00A37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(педагогічна) практика</w:t>
            </w:r>
          </w:p>
          <w:p w:rsidR="007B465A" w:rsidRPr="00EC7835" w:rsidRDefault="007B465A" w:rsidP="007B465A">
            <w:pPr>
              <w:tabs>
                <w:tab w:val="left" w:pos="9623"/>
              </w:tabs>
              <w:spacing w:line="240" w:lineRule="auto"/>
              <w:ind w:left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нормативний</w:t>
            </w:r>
          </w:p>
        </w:tc>
      </w:tr>
      <w:tr w:rsidR="003B4BE3" w:rsidTr="00AA0FDD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 </w:t>
            </w:r>
          </w:p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Освітно-наукова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програма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</w:tcPr>
          <w:p w:rsidR="003B4BE3" w:rsidRPr="00EC7835" w:rsidRDefault="003B4BE3" w:rsidP="00A151C1">
            <w:pPr>
              <w:tabs>
                <w:tab w:val="left" w:pos="9623"/>
              </w:tabs>
              <w:spacing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</w:t>
            </w:r>
          </w:p>
          <w:p w:rsidR="003B4BE3" w:rsidRDefault="003B4BE3" w:rsidP="00A151C1">
            <w:pPr>
              <w:tabs>
                <w:tab w:val="left" w:pos="9623"/>
              </w:tabs>
              <w:spacing w:line="240" w:lineRule="auto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ологія</w:t>
            </w:r>
            <w:proofErr w:type="spellEnd"/>
          </w:p>
        </w:tc>
      </w:tr>
      <w:tr w:rsidR="003B4BE3" w:rsidTr="00AA0FDD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Default="003B4BE3" w:rsidP="00A151C1">
            <w:pPr>
              <w:tabs>
                <w:tab w:val="left" w:pos="962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</w:t>
            </w:r>
            <w:r w:rsidR="00CD6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6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 </w:t>
            </w:r>
          </w:p>
          <w:p w:rsidR="003B4BE3" w:rsidRDefault="003B4BE3" w:rsidP="00A151C1">
            <w:pPr>
              <w:tabs>
                <w:tab w:val="left" w:pos="962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курс</w:t>
            </w:r>
          </w:p>
        </w:tc>
      </w:tr>
      <w:tr w:rsidR="003B4BE3" w:rsidTr="00AA0FDD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Default="003B4BE3" w:rsidP="00A151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Кошелєв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Іванович</w:t>
            </w:r>
          </w:p>
        </w:tc>
      </w:tr>
      <w:tr w:rsidR="003B4BE3" w:rsidRPr="0010328A" w:rsidTr="00AA0FDD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Default="003B4BE3" w:rsidP="00A151C1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mdpu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kafedra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ekologiyi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zoologiyi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ekologiyi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zoologiyi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koshelyev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oleksandr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ovych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</w:tc>
      </w:tr>
      <w:tr w:rsidR="003B4BE3" w:rsidTr="00AA0FDD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Pr="00EC7835" w:rsidRDefault="003B4BE3" w:rsidP="00A151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098-5583755</w:t>
            </w:r>
          </w:p>
        </w:tc>
      </w:tr>
      <w:tr w:rsidR="003B4BE3" w:rsidTr="00AA0FDD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Pr="00EC7835" w:rsidRDefault="003B4BE3" w:rsidP="00A151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aikoshelev</w:t>
            </w:r>
            <w:proofErr w:type="spellEnd"/>
            <w:r w:rsidRPr="00EC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Pr="00EC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4BE3" w:rsidRPr="0010328A" w:rsidTr="00AA0FDD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Сторінка курсу в ЦОДТ МДПУ ім. Б.Хмельницького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Pr="001515C6" w:rsidRDefault="003B4BE3" w:rsidP="00A151C1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dfn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mdpu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spellEnd"/>
            <w:r w:rsidRPr="001515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</w:p>
        </w:tc>
      </w:tr>
      <w:tr w:rsidR="003B4BE3" w:rsidTr="00AA0FDD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3B4BE3" w:rsidRDefault="003B4BE3" w:rsidP="00A151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6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hideMark/>
          </w:tcPr>
          <w:p w:rsidR="003B4BE3" w:rsidRDefault="003B4BE3" w:rsidP="00A151C1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3B4BE3" w:rsidRDefault="003B4BE3" w:rsidP="00A151C1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щосереди, згідно графіку роботи кафедри екології, загальної біології та раціонального природокористування.</w:t>
            </w:r>
          </w:p>
          <w:p w:rsidR="003B4BE3" w:rsidRDefault="003B4BE3" w:rsidP="00A151C1">
            <w:pPr>
              <w:pStyle w:val="10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3B4BE3" w:rsidRDefault="003B4BE3" w:rsidP="00A151C1">
            <w:pPr>
              <w:spacing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Б.Хмельницького.</w:t>
            </w:r>
          </w:p>
        </w:tc>
      </w:tr>
    </w:tbl>
    <w:p w:rsidR="003B4BE3" w:rsidRDefault="003B4BE3" w:rsidP="00AB52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237B1" w:rsidRDefault="00883E9E" w:rsidP="00CD7719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АНОТАЦІЯ</w:t>
      </w:r>
      <w:r w:rsidR="00CD771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D11C66" w:rsidRDefault="00AB1C81" w:rsidP="00CD771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Виробнича (педагогічна) практика у Мелітопольському державному педагогічному університеті імені Богдана Хмельницького на третьому освітньо-науковому рівні є структурним компонентом фахової професійної підготовки до науково-педагогічної діяльності та невід’ємним складником комплексної підготовки докторів філософії. </w:t>
      </w:r>
      <w:r w:rsidR="00CD7719" w:rsidRPr="00CD77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</w:t>
      </w:r>
      <w:r w:rsidR="000619E2">
        <w:rPr>
          <w:rFonts w:ascii="Times New Roman" w:eastAsia="Times New Roman" w:hAnsi="Times New Roman" w:cs="Times New Roman"/>
          <w:sz w:val="24"/>
          <w:szCs w:val="24"/>
          <w:lang w:val="uk-UA"/>
        </w:rPr>
        <w:t>проходження</w:t>
      </w:r>
      <w:r w:rsidR="00CD7719" w:rsidRPr="00CD77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19E2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виробничої (педагогічної) практики здобувачі вищої освіти</w:t>
      </w:r>
      <w:r w:rsidR="00CD7719" w:rsidRPr="00CD77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1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знайомляться із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роботою </w:t>
      </w:r>
      <w:r w:rsidR="000619E2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вищої освіти, переліком основних документів по випусковій кафедрі та їх змістом, аналізують </w:t>
      </w:r>
      <w:r w:rsidR="00CD7719" w:rsidRPr="00CD77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теоретичні і прикладні </w:t>
      </w:r>
      <w:r w:rsid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питання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 закладом вищої освіти та його структурними підрозділами, сучасні проблеми управління</w:t>
      </w:r>
      <w:r w:rsidR="00CD7719" w:rsidRPr="00CD771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Здобувачам н</w:t>
      </w:r>
      <w:r w:rsid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адаються </w:t>
      </w:r>
      <w:r w:rsidR="00EE47A8" w:rsidRPr="00EE47A8">
        <w:rPr>
          <w:rFonts w:ascii="Times New Roman" w:eastAsia="Times New Roman" w:hAnsi="Times New Roman" w:cs="Times New Roman"/>
          <w:sz w:val="24"/>
          <w:szCs w:val="24"/>
          <w:lang w:val="uk-UA"/>
        </w:rPr>
        <w:t>теоретичн</w:t>
      </w:r>
      <w:r w:rsidR="00EE47A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E47A8" w:rsidRP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практичн</w:t>
      </w:r>
      <w:r w:rsidR="00EE47A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E47A8" w:rsidRP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знан</w:t>
      </w:r>
      <w:r w:rsidR="00EE47A8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="00EE47A8" w:rsidRP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 вміння для</w:t>
      </w:r>
      <w:r w:rsid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забезпечення</w:t>
      </w:r>
      <w:r w:rsidR="00EE47A8" w:rsidRPr="00EE47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професійної потреби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управлінні освітнім, науковим та виховним процесом у закладі вищої освіти.</w:t>
      </w:r>
      <w:r w:rsidR="007B46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Керівниками практики є наукові керівники аспірантів.</w:t>
      </w:r>
    </w:p>
    <w:p w:rsidR="00CD7719" w:rsidRDefault="00D11C66" w:rsidP="00CD771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:rsidR="00883E9E" w:rsidRPr="00883E9E" w:rsidRDefault="00883E9E" w:rsidP="00883E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3E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МЕТА Т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ЗАВДАННЯ ОСВІТНЬОГО КОМПОНЕНТУ.</w:t>
      </w:r>
    </w:p>
    <w:p w:rsidR="00883E9E" w:rsidRPr="00883E9E" w:rsidRDefault="00883E9E" w:rsidP="00883E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18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883E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B1C81"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виробничої (педагогічної) практики здобувачів третього освітньо-наукового рівня вищої освіти є формування комплексу професійних </w:t>
      </w:r>
      <w:proofErr w:type="spellStart"/>
      <w:r w:rsidR="00AB1C81"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AB1C81"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, необхідних для подальшої самостійної науково-педагогічної діяльності та практичної апробації положень дисертаційних досліджень.</w:t>
      </w:r>
    </w:p>
    <w:p w:rsidR="00AB1C81" w:rsidRDefault="00883E9E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3E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="00AB1C81"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виробничої (педагогічної) практики</w:t>
      </w:r>
      <w:r w:rsid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застосовування знань та умінь, набутих під час вивчення методик та дисциплін психолого-педагогічного циклу в професійній діяльності; 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формування психолого-педагогічних та методичних умінь викладання відповідних навчальних дисциплін у системі вищої школи; 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закріплення, поглиблення та збагачення психолого-педагогічних та спеціальних знань з різних предметів, використання їх при розв’язанні конкретних педагогічних завдань; 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формування у майбутніх викладачів педагогічних умінь та навичок, які сприяють розвитку професійних якостей особистості; 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формування у </w:t>
      </w:r>
      <w:r w:rsidR="00CF6EB6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здобувачів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навичок організації виховної роботи зі здобувачами вищої освіти</w:t>
      </w:r>
      <w:r w:rsidR="00CF6E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нижчих рівнів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спираючись на знання з психології, педагогіки та фізіології, враховуючи їх індивідуальні особливості; 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підготовка аспірантів до проведення у закладах вищої освіти занять із застосуванням активних та інтерактивних методів навчання і виховання; 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набуття умінь організації основних форм навчання у вищій школі, застосування сучасних т</w:t>
      </w:r>
      <w:r w:rsidR="00CF6EB6">
        <w:rPr>
          <w:rFonts w:ascii="Times New Roman" w:eastAsia="Times New Roman" w:hAnsi="Times New Roman" w:cs="Times New Roman"/>
          <w:sz w:val="24"/>
          <w:szCs w:val="24"/>
          <w:lang w:val="uk-UA"/>
        </w:rPr>
        <w:t>ехнологій і методики навчання;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виконання функцій куратора </w:t>
      </w:r>
      <w:proofErr w:type="spellStart"/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академгрупи</w:t>
      </w:r>
      <w:proofErr w:type="spellEnd"/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студентських колективах, проведення індивідуальної роботи зі здобувачами вищої освіти;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виховання стійкого інтересу до професії викладача закладу вищої освіти, потреби в педагогічній самоосвіті, виробленні творчого підходу до педагогічної діяльності;</w:t>
      </w:r>
    </w:p>
    <w:p w:rsidR="00AB1C81" w:rsidRPr="00AB1C81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формування умінь професійного й педагогічного та наукового спілкування з аудиторією;</w:t>
      </w:r>
    </w:p>
    <w:p w:rsidR="00CF6EB6" w:rsidRDefault="00AB1C81" w:rsidP="00AB1C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AB1C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формування досвіду викладацької роботи, індивідуального творчого стилю педагогічної діяльності, потреби в самоосвіті</w:t>
      </w:r>
      <w:r w:rsidR="00CF6E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.- </w:t>
      </w:r>
    </w:p>
    <w:p w:rsidR="00883E9E" w:rsidRPr="00883E9E" w:rsidRDefault="00883E9E" w:rsidP="00883E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3E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 ПЕРЕЛІК КОМПЕТЕНТНОСТЕЙ, ЯКІ НАБУВАЮТЬСЯ ПІД ЧАС ОПАНУВАННЯ ОСВІТНІМ КОМПОНЕНТОМ</w:t>
      </w:r>
    </w:p>
    <w:p w:rsidR="00D11C66" w:rsidRDefault="00CF6EB6" w:rsidP="00CF6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Інтегральна</w:t>
      </w:r>
      <w:r w:rsidRPr="00CF6E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83E9E" w:rsidRPr="00CF6EB6" w:rsidRDefault="00D11C66" w:rsidP="00CF6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>ІК. Здатність розв’язувати комплексні завдання в галузі біології у процесі проведення дослідницько-інноваційної діяльності, що передбачає переосмислення наявних та створення нових цілісних знань, оволодіння методологією наукової та науково-педагогічної діяльності, проведення самостійного наукового дослідження, результати якого мають наукову новизну, теоретичне та практичне значення і інтегруються у світовий науковий простір та розуміння того, як наукові дослідження в тематичних галузях впливають на вирішення поточни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 проблем людини та суспільства</w:t>
      </w:r>
      <w:r w:rsidR="00CF6EB6" w:rsidRPr="00CF6EB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F6EB6" w:rsidRDefault="00CF6EB6" w:rsidP="00CF6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F6E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11C66" w:rsidRPr="00D11C66" w:rsidRDefault="00D11C66" w:rsidP="00D11C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ЗК07. Здатність демонструвати значну авторитетність,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>інноваційність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>, високий ступінь самостійності, академічної та професійної доброчесності.</w:t>
      </w:r>
    </w:p>
    <w:p w:rsidR="00D11C66" w:rsidRPr="00D11C66" w:rsidRDefault="00D11C66" w:rsidP="00D11C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>ЗК08. Здатність до генерації ідей та постійної відданості розвитку нових процесів у передових контекстах професійної та наукової діяльності.</w:t>
      </w:r>
    </w:p>
    <w:p w:rsidR="00D11C66" w:rsidRDefault="00D11C66" w:rsidP="00D11C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>ЗК09. Здатність до безперервного саморозвитку та самовдосконалення.</w:t>
      </w:r>
    </w:p>
    <w:p w:rsidR="00D11C66" w:rsidRDefault="00D11C66" w:rsidP="00D11C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F6EB6" w:rsidRPr="00CF6EB6" w:rsidRDefault="00D11C66" w:rsidP="00D11C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Фахові</w:t>
      </w:r>
      <w:r w:rsidR="00CF6EB6" w:rsidRPr="00CF6E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CF6EB6" w:rsidRDefault="00D11C66" w:rsidP="00CF6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>ФК7. Здатність здійснювати науково-педагогічну діяльність у закладах вищої освіти.</w:t>
      </w:r>
    </w:p>
    <w:p w:rsidR="00D11C66" w:rsidRPr="00CD7719" w:rsidRDefault="00D11C66" w:rsidP="00CF6E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3E9E" w:rsidRDefault="00883E9E" w:rsidP="00BF7DA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4. Результати навчання</w:t>
      </w:r>
    </w:p>
    <w:p w:rsidR="00883E9E" w:rsidRDefault="00883E9E" w:rsidP="00883E9E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E1D">
        <w:rPr>
          <w:rFonts w:ascii="Times New Roman" w:hAnsi="Times New Roman" w:cs="Times New Roman"/>
          <w:b/>
          <w:sz w:val="24"/>
          <w:szCs w:val="24"/>
          <w:lang w:val="uk-UA"/>
        </w:rPr>
        <w:t>Програмні результати навчання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(ПРН)</w:t>
      </w:r>
    </w:p>
    <w:p w:rsidR="00883E9E" w:rsidRDefault="00D11C66" w:rsidP="00883E9E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/>
        </w:rPr>
        <w:t>ПР10. Викладати із застосуванням сучасних і ефективних методів і технологій, що забезпечують досягнення результатів навчання дисципліни.</w:t>
      </w:r>
    </w:p>
    <w:p w:rsidR="00D11C66" w:rsidRDefault="00D11C66" w:rsidP="00883E9E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83E9E" w:rsidRDefault="00883E9E" w:rsidP="00BF7DAC">
      <w:pPr>
        <w:spacing w:line="240" w:lineRule="auto"/>
        <w:ind w:left="360" w:firstLine="349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5. Обсяг курсу</w:t>
      </w:r>
    </w:p>
    <w:p w:rsidR="00883E9E" w:rsidRDefault="00883E9E" w:rsidP="00883E9E">
      <w:pPr>
        <w:spacing w:line="240" w:lineRule="auto"/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8712" w:type="dxa"/>
        <w:tblInd w:w="460" w:type="dxa"/>
        <w:tblLayout w:type="fixed"/>
        <w:tblLook w:val="04A0"/>
      </w:tblPr>
      <w:tblGrid>
        <w:gridCol w:w="2759"/>
        <w:gridCol w:w="1984"/>
        <w:gridCol w:w="1985"/>
        <w:gridCol w:w="1984"/>
      </w:tblGrid>
      <w:tr w:rsidR="00883E9E" w:rsidRPr="00F86712" w:rsidTr="00BF7DAC">
        <w:trPr>
          <w:trHeight w:val="270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3E9E" w:rsidRPr="00F86712" w:rsidRDefault="00883E9E" w:rsidP="00E55B7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 заняття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E9E" w:rsidRPr="00F86712" w:rsidRDefault="00883E9E" w:rsidP="00E55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8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3E9E" w:rsidRPr="00F86712" w:rsidRDefault="00883E9E" w:rsidP="00E55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семінарські</w:t>
            </w:r>
            <w:r w:rsidRPr="00F8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3E9E" w:rsidRPr="00F86712" w:rsidRDefault="00883E9E" w:rsidP="00E55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8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83E9E" w:rsidRPr="00F86712" w:rsidTr="00BF7DAC">
        <w:trPr>
          <w:trHeight w:val="270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3E9E" w:rsidRPr="00F86712" w:rsidRDefault="00883E9E" w:rsidP="00E55B7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86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3E9E" w:rsidRPr="00F86712" w:rsidRDefault="00883E9E" w:rsidP="00E55B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3E9E" w:rsidRPr="00F86712" w:rsidRDefault="007B465A" w:rsidP="00E55B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883E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3E9E" w:rsidRPr="00F86712" w:rsidRDefault="007B465A" w:rsidP="00E55B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883E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883E9E" w:rsidRDefault="00883E9E" w:rsidP="00883E9E">
      <w:pPr>
        <w:spacing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883E9E" w:rsidRPr="00F86712" w:rsidRDefault="00883E9E" w:rsidP="00883E9E">
      <w:pPr>
        <w:spacing w:line="240" w:lineRule="auto"/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  <w:r w:rsidRPr="00F86712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6. Політики курсу</w:t>
      </w:r>
    </w:p>
    <w:p w:rsidR="00883E9E" w:rsidRPr="00BF7DAC" w:rsidRDefault="00883E9E" w:rsidP="00883E9E">
      <w:p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DAC">
        <w:rPr>
          <w:rFonts w:ascii="Times New Roman" w:hAnsi="Times New Roman" w:cs="Times New Roman"/>
          <w:sz w:val="24"/>
          <w:szCs w:val="24"/>
          <w:lang w:val="uk-UA"/>
        </w:rPr>
        <w:t>Політика навчання через дослідження</w:t>
      </w:r>
      <w:r w:rsidR="00BF7DAC" w:rsidRPr="00BF7DA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83E9E" w:rsidRPr="00BF7DAC" w:rsidRDefault="000C4911" w:rsidP="00883E9E">
      <w:pPr>
        <w:numPr>
          <w:ilvl w:val="0"/>
          <w:numId w:val="14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Освітній компонент</w:t>
      </w:r>
      <w:r w:rsidR="00883E9E" w:rsidRPr="00BF7DAC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CF6EB6">
        <w:rPr>
          <w:rFonts w:ascii="Times New Roman" w:hAnsi="Times New Roman" w:cs="Times New Roman"/>
          <w:sz w:val="24"/>
          <w:szCs w:val="24"/>
          <w:lang w:val="uk-UA"/>
        </w:rPr>
        <w:t>нормативною</w:t>
      </w:r>
      <w:r w:rsidR="00251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3E9E" w:rsidRPr="00BF7DAC">
        <w:rPr>
          <w:rFonts w:ascii="Times New Roman" w:hAnsi="Times New Roman" w:cs="Times New Roman"/>
          <w:sz w:val="24"/>
          <w:szCs w:val="24"/>
          <w:lang w:val="uk-UA"/>
        </w:rPr>
        <w:t>складово</w:t>
      </w:r>
      <w:r w:rsidR="0025189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83E9E" w:rsidRPr="00BF7DAC">
        <w:rPr>
          <w:rFonts w:ascii="Times New Roman" w:hAnsi="Times New Roman" w:cs="Times New Roman"/>
          <w:sz w:val="24"/>
          <w:szCs w:val="24"/>
          <w:lang w:val="uk-UA"/>
        </w:rPr>
        <w:t xml:space="preserve"> освітньо-наукової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3E9E" w:rsidRPr="00BF7D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83E9E" w:rsidRPr="00BF7DAC">
        <w:rPr>
          <w:rFonts w:ascii="Times New Roman" w:hAnsi="Times New Roman" w:cs="Times New Roman"/>
          <w:sz w:val="24"/>
          <w:szCs w:val="24"/>
          <w:lang w:val="uk-UA"/>
        </w:rPr>
        <w:t xml:space="preserve">лючовим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883E9E" w:rsidRPr="00BF7DAC">
        <w:rPr>
          <w:rFonts w:ascii="Times New Roman" w:hAnsi="Times New Roman" w:cs="Times New Roman"/>
          <w:sz w:val="24"/>
          <w:szCs w:val="24"/>
          <w:lang w:val="uk-UA"/>
        </w:rPr>
        <w:t>принципом є «</w:t>
      </w:r>
      <w:r>
        <w:rPr>
          <w:rFonts w:ascii="Times New Roman" w:hAnsi="Times New Roman" w:cs="Times New Roman"/>
          <w:sz w:val="24"/>
          <w:szCs w:val="24"/>
          <w:lang w:val="uk-UA"/>
        </w:rPr>
        <w:t>Набуття практичних умінь та навичок науково-педагогічної діяльності</w:t>
      </w:r>
      <w:r w:rsidR="00883E9E" w:rsidRPr="00BF7DAC">
        <w:rPr>
          <w:rFonts w:ascii="Times New Roman" w:hAnsi="Times New Roman" w:cs="Times New Roman"/>
          <w:sz w:val="24"/>
          <w:szCs w:val="24"/>
          <w:lang w:val="uk-UA"/>
        </w:rPr>
        <w:t xml:space="preserve">». Усі складові курсу розглядаються у контексті відповідності наукових інтересів аспірантів. </w:t>
      </w:r>
    </w:p>
    <w:p w:rsidR="00883E9E" w:rsidRPr="00F86712" w:rsidRDefault="00883E9E" w:rsidP="00883E9E">
      <w:pPr>
        <w:spacing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 академічної поведінки та етики:</w:t>
      </w:r>
    </w:p>
    <w:p w:rsidR="00883E9E" w:rsidRPr="00F86712" w:rsidRDefault="00883E9E" w:rsidP="00883E9E">
      <w:pPr>
        <w:numPr>
          <w:ilvl w:val="0"/>
          <w:numId w:val="14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пропускати та не запізнюватися на заняття за розкладом</w:t>
      </w:r>
      <w:r w:rsidR="000C49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 також наукові та організаційні заходи випускової кафедри</w:t>
      </w: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83E9E" w:rsidRPr="00F86712" w:rsidRDefault="00883E9E" w:rsidP="00883E9E">
      <w:pPr>
        <w:numPr>
          <w:ilvl w:val="0"/>
          <w:numId w:val="14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Вчасно </w:t>
      </w:r>
      <w:r w:rsidR="000C4911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готуватися до проведення навчальних занять</w:t>
      </w: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C49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(практичні, семінарські) </w:t>
      </w: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0C49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студентів з </w:t>
      </w: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 самостійної роботи;</w:t>
      </w:r>
    </w:p>
    <w:p w:rsidR="00883E9E" w:rsidRPr="00F86712" w:rsidRDefault="00883E9E" w:rsidP="00883E9E">
      <w:pPr>
        <w:numPr>
          <w:ilvl w:val="0"/>
          <w:numId w:val="14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Вчасно </w:t>
      </w:r>
      <w:r w:rsidR="000C49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готувати та проводити </w:t>
      </w:r>
      <w:r w:rsidRPr="00F8671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контрольно-модульні завдання </w:t>
      </w:r>
      <w:r w:rsidR="000C491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перевірки якості теоретичних і практичних знань у здобувачів.</w:t>
      </w:r>
    </w:p>
    <w:p w:rsidR="00883E9E" w:rsidRDefault="00883E9E" w:rsidP="00883E9E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883E9E" w:rsidRDefault="00883E9E" w:rsidP="00BF7DAC">
      <w:pPr>
        <w:spacing w:line="240" w:lineRule="auto"/>
        <w:ind w:firstLine="709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</w:t>
      </w:r>
      <w:r w:rsidR="000C4911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ЗАГАЛЬНА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СТРУКТУРА </w:t>
      </w:r>
      <w:r w:rsidR="000C4911" w:rsidRPr="000C4911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ОСВІТНЬОГО КОМПОНЕНТУ</w:t>
      </w:r>
    </w:p>
    <w:tbl>
      <w:tblPr>
        <w:tblW w:w="1010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261"/>
        <w:gridCol w:w="1329"/>
        <w:gridCol w:w="4394"/>
        <w:gridCol w:w="1418"/>
        <w:gridCol w:w="1701"/>
      </w:tblGrid>
      <w:tr w:rsidR="007F5733" w:rsidTr="007F5733">
        <w:trPr>
          <w:trHeight w:val="55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5733" w:rsidRDefault="007F5733" w:rsidP="00352745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5733" w:rsidRDefault="007F5733" w:rsidP="00352745">
            <w:pPr>
              <w:pStyle w:val="10"/>
              <w:widowControl w:val="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5733" w:rsidRDefault="007F5733" w:rsidP="00352745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7F5733" w:rsidRDefault="007F5733" w:rsidP="00352745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F5733" w:rsidRDefault="007F5733" w:rsidP="007F5733">
            <w:pPr>
              <w:pStyle w:val="10"/>
              <w:spacing w:line="240" w:lineRule="auto"/>
              <w:ind w:left="-58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Максимальна кількість балів</w:t>
            </w:r>
          </w:p>
        </w:tc>
      </w:tr>
      <w:tr w:rsidR="007F5733" w:rsidTr="007F5733">
        <w:trPr>
          <w:trHeight w:val="6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733" w:rsidRDefault="007B465A" w:rsidP="00352745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071B5A" w:rsidRDefault="007F5733" w:rsidP="00352745">
            <w:pPr>
              <w:ind w:left="-58" w:right="-15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Настановна конференція </w:t>
            </w:r>
            <w:r w:rsidRPr="00352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форматі засідання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52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F5733" w:rsidP="00352745">
            <w:pPr>
              <w:ind w:left="-58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Ознайомлення з порядком проходження здобувачами виробничої (педагогічної) практики.</w:t>
            </w:r>
          </w:p>
          <w:p w:rsidR="007F5733" w:rsidRDefault="007F5733" w:rsidP="00352745">
            <w:pPr>
              <w:ind w:left="-58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</w:t>
            </w:r>
            <w:r w:rsidRPr="00352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тримання 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352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наукового керівника та випускової кафедри.</w:t>
            </w:r>
          </w:p>
          <w:p w:rsidR="007F5733" w:rsidRDefault="007F5733" w:rsidP="00352745">
            <w:pPr>
              <w:ind w:left="-58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Визначення</w:t>
            </w:r>
            <w:r w:rsidRPr="00352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 звітності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F5733" w:rsidRDefault="007F5733" w:rsidP="00352745">
            <w:pPr>
              <w:pStyle w:val="10"/>
              <w:spacing w:line="240" w:lineRule="auto"/>
              <w:ind w:left="-58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Складання </w:t>
            </w:r>
            <w:r w:rsidRPr="00352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індивідуального плану проведення практики та його затвердження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F5733" w:rsidRDefault="007F5733" w:rsidP="00117F3D">
            <w:pPr>
              <w:pStyle w:val="10"/>
              <w:spacing w:line="240" w:lineRule="auto"/>
              <w:ind w:left="-58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Оформлення щоденника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A31A1E" w:rsidRDefault="007F5733" w:rsidP="00352745">
            <w:pPr>
              <w:pStyle w:val="10"/>
              <w:spacing w:line="240" w:lineRule="auto"/>
              <w:ind w:left="-58" w:right="-15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Default="007F5733" w:rsidP="007F5733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5733" w:rsidTr="007F5733">
        <w:trPr>
          <w:trHeight w:val="6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B465A" w:rsidP="00352745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F5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BB22B3" w:rsidRDefault="007F5733" w:rsidP="00BB22B3">
            <w:pPr>
              <w:ind w:left="-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пунктів індивідуал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ьного плану проходження практики в рамках навчальної діяльності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F5733" w:rsidP="00F672D7">
            <w:pPr>
              <w:pStyle w:val="10"/>
              <w:numPr>
                <w:ilvl w:val="0"/>
                <w:numId w:val="35"/>
              </w:numPr>
              <w:spacing w:line="240" w:lineRule="auto"/>
              <w:ind w:left="189" w:hanging="2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різних видів навчальних занять за розкладом у закріпленій академічній групі.</w:t>
            </w:r>
          </w:p>
          <w:p w:rsidR="007F5733" w:rsidRDefault="007F5733" w:rsidP="00F672D7">
            <w:pPr>
              <w:pStyle w:val="10"/>
              <w:numPr>
                <w:ilvl w:val="0"/>
                <w:numId w:val="35"/>
              </w:numPr>
              <w:spacing w:line="240" w:lineRule="auto"/>
              <w:ind w:left="189" w:hanging="2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психолого-педагогічного аналізу відвіданих занять.</w:t>
            </w:r>
          </w:p>
          <w:p w:rsidR="007F5733" w:rsidRDefault="007F5733" w:rsidP="00F672D7">
            <w:pPr>
              <w:pStyle w:val="10"/>
              <w:numPr>
                <w:ilvl w:val="0"/>
                <w:numId w:val="35"/>
              </w:numPr>
              <w:spacing w:line="240" w:lineRule="auto"/>
              <w:ind w:left="189" w:hanging="2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роздавальних дидактичних матеріалів.</w:t>
            </w:r>
          </w:p>
          <w:p w:rsidR="007F5733" w:rsidRPr="00BB22B3" w:rsidRDefault="007F5733" w:rsidP="00F672D7">
            <w:pPr>
              <w:pStyle w:val="10"/>
              <w:numPr>
                <w:ilvl w:val="0"/>
                <w:numId w:val="35"/>
              </w:numPr>
              <w:spacing w:line="240" w:lineRule="auto"/>
              <w:ind w:left="189" w:hanging="2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еревірка письмових робіт студентів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5733" w:rsidRPr="00BB22B3" w:rsidRDefault="007F5733" w:rsidP="00F672D7">
            <w:pPr>
              <w:pStyle w:val="10"/>
              <w:numPr>
                <w:ilvl w:val="0"/>
                <w:numId w:val="35"/>
              </w:numPr>
              <w:spacing w:line="240" w:lineRule="auto"/>
              <w:ind w:left="189" w:hanging="2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консультацій для студентів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F5733" w:rsidRDefault="007F5733" w:rsidP="00F672D7">
            <w:pPr>
              <w:pStyle w:val="10"/>
              <w:numPr>
                <w:ilvl w:val="0"/>
                <w:numId w:val="35"/>
              </w:numPr>
              <w:spacing w:line="240" w:lineRule="auto"/>
              <w:ind w:left="189" w:hanging="2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ідготовка і проведення одного поза</w:t>
            </w:r>
            <w:r w:rsidR="00656B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аудиторного заходу з предмету, що викладається.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A31A1E" w:rsidRDefault="007F5733" w:rsidP="00F672D7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Упродовж усього періоду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Default="007F5733" w:rsidP="007F5733">
            <w:pPr>
              <w:pStyle w:val="10"/>
              <w:spacing w:line="240" w:lineRule="auto"/>
              <w:ind w:left="-5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</w:p>
        </w:tc>
      </w:tr>
      <w:tr w:rsidR="007F5733" w:rsidTr="007F5733">
        <w:trPr>
          <w:trHeight w:val="68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B465A" w:rsidP="00352745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BB22B3" w:rsidRDefault="007F5733" w:rsidP="00117F3D">
            <w:pPr>
              <w:autoSpaceDE w:val="0"/>
              <w:autoSpaceDN w:val="0"/>
              <w:adjustRightInd w:val="0"/>
              <w:ind w:left="-58" w:right="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2B3">
              <w:rPr>
                <w:rFonts w:ascii="Times New Roman" w:hAnsi="Times New Roman" w:cs="Times New Roman"/>
                <w:sz w:val="24"/>
                <w:szCs w:val="24"/>
              </w:rPr>
              <w:t>Виконання пунктів індивідуального плану проходження практики в рамках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науково-методичної діяльності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BB22B3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знайомлення з особливостями організації освітнього процесу у закладі вищої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на випусковій кафедрі.</w:t>
            </w:r>
          </w:p>
          <w:p w:rsidR="007F5733" w:rsidRPr="00BB22B3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знайомлення з кредитно-модульною організацією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 та освітнього компоненту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доручено викладати;</w:t>
            </w:r>
          </w:p>
          <w:p w:rsidR="007F5733" w:rsidRPr="00BB22B3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знайомлення зі змістом освіти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(навчальні програми з дисциплін та робочі програми з навчальних дисциплін, підручники, посібники, методичні рекомендації);</w:t>
            </w:r>
          </w:p>
          <w:p w:rsidR="007F5733" w:rsidRPr="00BB22B3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часть аспірантів у засіданнях кафедр, наукових гуртків, в роботі науково-методичних семінарів викладачів тощо; </w:t>
            </w:r>
          </w:p>
          <w:p w:rsidR="007F5733" w:rsidRPr="00BB22B3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С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кладання робочої навчальної програми курсу, який доручено проводити (тематичного плану і планів окремих занять, завдань для самостійної роботи, завдань для поточного, модульного і підсумкового видів контролю тощо); </w:t>
            </w:r>
          </w:p>
          <w:p w:rsidR="007F5733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</w:t>
            </w:r>
            <w:r w:rsidRPr="00BB2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ідвідування та аналіз занять викладачів кафедри та аспірантів-практикантів.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A31A1E" w:rsidRDefault="007F5733" w:rsidP="00F672D7">
            <w:pPr>
              <w:pStyle w:val="10"/>
              <w:spacing w:line="240" w:lineRule="auto"/>
              <w:ind w:left="-58" w:right="-9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Упродовж усього періоду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Default="007F5733" w:rsidP="007F5733">
            <w:pPr>
              <w:pStyle w:val="10"/>
              <w:spacing w:line="240" w:lineRule="auto"/>
              <w:ind w:left="-58" w:right="-9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7F5733" w:rsidTr="007F5733">
        <w:trPr>
          <w:trHeight w:val="68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B465A" w:rsidP="00BF7DAC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437C1A" w:rsidRDefault="007F5733" w:rsidP="00117F3D">
            <w:pPr>
              <w:autoSpaceDE w:val="0"/>
              <w:autoSpaceDN w:val="0"/>
              <w:adjustRightInd w:val="0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117F3D">
              <w:rPr>
                <w:rFonts w:ascii="Times New Roman" w:hAnsi="Times New Roman" w:cs="Times New Roman"/>
                <w:sz w:val="24"/>
                <w:szCs w:val="24"/>
              </w:rPr>
              <w:t>Виконання пунктів індивідуального плану проходження практики в рамках</w:t>
            </w:r>
            <w:r>
              <w:t xml:space="preserve"> 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виховної діяльності 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аспіранта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117F3D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 О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знайомлення з організацією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 в університеті і на кафедрі.</w:t>
            </w:r>
          </w:p>
          <w:p w:rsidR="007F5733" w:rsidRPr="00117F3D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знайомлення з комплексним планом організаційно-виховної роботи в університеті, планом виховної роботи на факультеті, в академічній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рупі.</w:t>
            </w:r>
          </w:p>
          <w:p w:rsidR="007F5733" w:rsidRPr="00117F3D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та аналіз виховних заходів, що провод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інші аспіранти-практиканти.</w:t>
            </w:r>
          </w:p>
          <w:p w:rsidR="007F5733" w:rsidRPr="00117F3D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ідготовка і 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одного виховного заходу.</w:t>
            </w:r>
          </w:p>
          <w:p w:rsidR="007F5733" w:rsidRPr="00117F3D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сихолого-педагогічне вивчення як особистості окремих студентів, так і 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колективу групи в цілому. </w:t>
            </w:r>
          </w:p>
          <w:p w:rsidR="007F5733" w:rsidRDefault="007F5733" w:rsidP="00117F3D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дійснення функцій куратора студентської групи на рівнях </w:t>
            </w:r>
            <w:proofErr w:type="spellStart"/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бакалаврату</w:t>
            </w:r>
            <w:proofErr w:type="spellEnd"/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магістратури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тьюторської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A31A1E" w:rsidRDefault="007F5733" w:rsidP="00BF7DAC">
            <w:pPr>
              <w:pStyle w:val="10"/>
              <w:spacing w:line="240" w:lineRule="auto"/>
              <w:ind w:left="-58" w:right="-1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72D7">
              <w:rPr>
                <w:rFonts w:ascii="Times New Roman" w:hAnsi="Times New Roman" w:cs="Times New Roman"/>
                <w:lang w:val="uk-UA"/>
              </w:rPr>
              <w:lastRenderedPageBreak/>
              <w:t>Упродовж усього періоду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F672D7" w:rsidRDefault="007F5733" w:rsidP="007F5733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7F5733" w:rsidTr="007F5733">
        <w:trPr>
          <w:trHeight w:val="68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B465A" w:rsidP="003E48C6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071B5A" w:rsidRDefault="007F5733" w:rsidP="00117F3D">
            <w:pPr>
              <w:autoSpaceDE w:val="0"/>
              <w:autoSpaceDN w:val="0"/>
              <w:adjustRightInd w:val="0"/>
              <w:ind w:left="-58" w:right="-1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пунктів індивідуального плану проходження практики в 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ауково-дослідн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аспіранта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117F3D" w:rsidRDefault="007F5733" w:rsidP="00F672D7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иконання індивідуальних науково-дослідних завдань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складання відповідного звіту.</w:t>
            </w:r>
          </w:p>
          <w:p w:rsidR="007F5733" w:rsidRPr="00117F3D" w:rsidRDefault="007F5733" w:rsidP="00F672D7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часть у роботі наукових семінарів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випускової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</w:t>
            </w:r>
          </w:p>
          <w:p w:rsidR="007F5733" w:rsidRDefault="007F5733" w:rsidP="00F672D7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К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ерівництво науковими студентськими дослідженнями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власної наукової теми</w:t>
            </w:r>
            <w:r w:rsidRPr="00117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F5733" w:rsidRDefault="007F5733" w:rsidP="00F672D7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Виконання власної теми наукового дослідження.</w:t>
            </w:r>
          </w:p>
          <w:p w:rsidR="007F5733" w:rsidRDefault="007F5733" w:rsidP="00F672D7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Підготовка, написання та оформлення наукових статей.</w:t>
            </w:r>
          </w:p>
          <w:p w:rsidR="007F5733" w:rsidRDefault="007F5733" w:rsidP="00F672D7">
            <w:pPr>
              <w:pStyle w:val="10"/>
              <w:spacing w:line="240" w:lineRule="auto"/>
              <w:ind w:lef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Підготовка наукових тез та виступ з результатами дослідження на наукових конференціях в якості апробації.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A31A1E" w:rsidRDefault="007F5733" w:rsidP="003E48C6">
            <w:pPr>
              <w:pStyle w:val="10"/>
              <w:spacing w:line="240" w:lineRule="auto"/>
              <w:ind w:left="-58" w:right="-15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672D7">
              <w:rPr>
                <w:rFonts w:ascii="Times New Roman" w:hAnsi="Times New Roman" w:cs="Times New Roman"/>
                <w:lang w:val="uk-UA"/>
              </w:rPr>
              <w:t>Упродовж усього періоду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F672D7" w:rsidRDefault="007F5733" w:rsidP="007F5733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7F5733" w:rsidTr="007F5733">
        <w:trPr>
          <w:trHeight w:val="3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Pr="00955E39" w:rsidRDefault="007B465A" w:rsidP="003E48C6">
            <w:pPr>
              <w:shd w:val="clear" w:color="auto" w:fill="FFFFFF"/>
              <w:spacing w:line="240" w:lineRule="auto"/>
              <w:ind w:left="-58" w:right="-15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Pr="00071B5A" w:rsidRDefault="007F5733" w:rsidP="00F672D7">
            <w:pPr>
              <w:autoSpaceDE w:val="0"/>
              <w:autoSpaceDN w:val="0"/>
              <w:adjustRightInd w:val="0"/>
              <w:ind w:left="-58" w:right="-1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оформлення звіту з виробничої (педагогічної) практики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F5733" w:rsidP="003E48C6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діяльності аспіранта під час проходження виробничої (педагогічної)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33" w:rsidRDefault="007F5733" w:rsidP="003E48C6">
            <w:pPr>
              <w:pStyle w:val="10"/>
              <w:spacing w:line="240" w:lineRule="auto"/>
              <w:ind w:left="-58" w:right="-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день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33" w:rsidRDefault="007F5733" w:rsidP="007F5733">
            <w:pPr>
              <w:pStyle w:val="10"/>
              <w:spacing w:line="240" w:lineRule="auto"/>
              <w:ind w:left="-58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883E9E" w:rsidRDefault="00883E9E" w:rsidP="00883E9E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8. Система оцінювання та вимоги</w:t>
      </w:r>
    </w:p>
    <w:p w:rsidR="00883E9E" w:rsidRDefault="00883E9E" w:rsidP="00883E9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1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259"/>
        <w:gridCol w:w="7342"/>
      </w:tblGrid>
      <w:tr w:rsidR="00883E9E" w:rsidTr="00AA0FD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E9E" w:rsidRDefault="00883E9E" w:rsidP="00A26CD1">
            <w:pPr>
              <w:pStyle w:val="1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система оцінювання </w:t>
            </w:r>
            <w:r w:rsidR="00A26C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освітнього компоненту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9E" w:rsidRDefault="00883E9E" w:rsidP="0065316E">
            <w:pPr>
              <w:pStyle w:val="10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A2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 проходження виробничої (педагогічної) практики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упродовж трьох тижнів здобувачі вищої освіти за виконані види робіт набирають бали, максимальна кількість яких становить 100 балів. За групами робіт бали розподіляться так, як показано у пункті 7</w:t>
            </w:r>
            <w:r w:rsidR="00A26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виконані види робіт становить рейтинговий показник здобувача і виставляється здобувачеві як підсумкова оцінка.</w:t>
            </w:r>
          </w:p>
        </w:tc>
      </w:tr>
      <w:tr w:rsidR="00883E9E" w:rsidRPr="00D0286F" w:rsidTr="00AA0FD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9E" w:rsidRDefault="0028292B" w:rsidP="0028292B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успішності видів діяльності здобувача під час проходження виробничої практики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9E" w:rsidRDefault="00883E9E" w:rsidP="00E55B70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студент в повному обсязі 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освоїв програму практики,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та аргументовано викладає 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окремих тем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усних виступів та письмових відповідей, глибоко та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себічно розкриває зміст теоретичних питань та практичних завдань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дисципліни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використовуючи при цьому нормативну, обов’язкову та додаткову літературу. 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правильно застосовував методичні прийоми і правила під час проведення лекційних занять та виконання практичних робіт.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Здатен </w:t>
            </w:r>
            <w:r w:rsidR="00653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реалізовувати освітній процес,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знає особливості освітнього процесу у закладах вищої освіти, здатен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ознак вивченого за допомогою операцій синтезу, аналізу, виявляти причинно-наслідкові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зв’язки, формувати висновки і узагальнення, вільно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883E9E" w:rsidRDefault="00883E9E" w:rsidP="00E55B70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достатньо повно володіє навчальним матеріалом,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обґрунтовано його викладає під час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лекційних та практичних занять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основному розкриває зміст теоретичних питань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лекціях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практичних завдань, використовуючи при цьому нормативну та обов’язкову літературу. Але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здатен виділяти суттєві ознаки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предмету дослідження, але допускає незначні помилки та неточності.</w:t>
            </w:r>
          </w:p>
          <w:p w:rsidR="00883E9E" w:rsidRDefault="00883E9E" w:rsidP="00E55B70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цілому володіє навчальним матеріалом, викладає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проведення лекцій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 основний зміст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робіт в основному вміє пояснити студентам методику виконання завдань,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але без глибокого всебічного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аналізу, обґрунтування та аргументації, допускаючи при цьому окремі суттєві неточності та помилки. 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Підтримує певні зв'язки з науковою спільнотою кафедри, але не систематично. Допускає</w:t>
            </w:r>
            <w:r w:rsidR="00407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ться помилок</w:t>
            </w:r>
            <w:r w:rsidR="0028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виділення суттєвих ознак вивченого; під час виявлення причинно-наслідкових зв’язків і формулювання висновків.</w:t>
            </w:r>
          </w:p>
          <w:p w:rsidR="00883E9E" w:rsidRDefault="00883E9E" w:rsidP="00407EA1">
            <w:pPr>
              <w:pStyle w:val="10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407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7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недостатньо підготовлений для проведення лекційного чи практичного заняття,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 повному обсязі володіє навчальним матеріалом. Фрагментарно, поверхово (без аргументації та обґрунтування) викладає його</w:t>
            </w:r>
            <w:r w:rsidR="00407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недостатньо розкриває зміст теоретичних питань та практичних завдань, допускаючи при цьому суттєві неточності. </w:t>
            </w:r>
            <w:r w:rsidR="00407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заняття і кафедральні заходи запізнюється, ініціативи не проявляє або взагалі відмовляється виконувати певні види діяльності в межах виробничої практики.</w:t>
            </w:r>
          </w:p>
        </w:tc>
      </w:tr>
      <w:tr w:rsidR="00883E9E" w:rsidTr="00AA0FD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9E" w:rsidRDefault="00883E9E" w:rsidP="00E55B7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допуску до підсумкового контролю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E9E" w:rsidRDefault="00407EA1" w:rsidP="009472D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Здобувач, який за результатами оцінювання практичних видів діяльності у відповідності до програми виробничої (педагогічної) практики, набрав 60 балів і більше, отримує залік за умови, що він виконав усі види практичних завдань, передбачених програмою практики. </w:t>
            </w:r>
            <w:r w:rsidR="0088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947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певних видів робіт є підставою для відмови у виставленні здобувачеві заліку у зв’язку з </w:t>
            </w:r>
            <w:r w:rsidR="0088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невиконання</w:t>
            </w:r>
            <w:r w:rsidR="00947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8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плану</w:t>
            </w:r>
            <w:r w:rsidR="00947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8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83E9E" w:rsidRDefault="00883E9E" w:rsidP="00883E9E">
      <w:pPr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11C66" w:rsidRDefault="00D11C66" w:rsidP="00883E9E">
      <w:pPr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11C66" w:rsidRDefault="00D11C66" w:rsidP="00883E9E">
      <w:pPr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11C66" w:rsidRPr="00D11C66" w:rsidRDefault="00D11C66" w:rsidP="00D11C66">
      <w:pPr>
        <w:numPr>
          <w:ilvl w:val="0"/>
          <w:numId w:val="36"/>
        </w:numPr>
        <w:spacing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1C66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література:</w:t>
      </w:r>
    </w:p>
    <w:p w:rsidR="00D11C66" w:rsidRPr="00D11C66" w:rsidRDefault="00D11C66" w:rsidP="00D11C6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1C66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АніщенкоО.В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ЯковецьН.І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Сучасні педагогічні технології: курс лекцій.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посібник / За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ред. Н.І.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Яковець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Ніжин: Видавництво НДУ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ім.М.Гоголя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2007. –199с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Артемова Л. В. Педагогіка і методика вищої школи. – К.: Кондор, 2008. – 272 с. 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Бондаренко, Є. А.  Організація педагогічної практики : методичні рекомендації для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заочної форми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(виховний аспект) / Є. А. Бондаренко, М. М. Бойко. – Тернопіль : ТНПУ, 2006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Васюкова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Т.Екологія: підручник для студентів вищих навчальних закладів  - К. : Кондор, 2009. – 524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Грицик, В. (мол.) Екологія довкілля. Охорона природи : навчальний посібник для студентів вузів / В. Грицик, Ю.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Канарський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Бедрій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- К. : Кондор, 2009. – 290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Джигирей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С. Екологія та охорона навколишнього природного середовища: Навчальний посібник / Віктор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Джигирей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,. - 4-те вид., випр. і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- К. : Знання, 2006. - 319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Дідух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Я. П. Основи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біоіндикації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Київ. Наукова думка, 2012. – 344с.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Заверуха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 М. Основи екології: Навчальний посібник для вищих навчальних закладів / Нелі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Заверуха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Валентин Серебряков, Юрій Скиба,. - К. : Каравела, 2006. - 365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Кунах О.М., Балдін А. О., Жуков О.В. Просторова організація біогеоценозів: Навчально-методичний посібник для самостійної роботи, - Дніпро: вид-во Ліра, 2020. </w:t>
      </w:r>
      <w:r w:rsidRPr="00D11C66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softHyphen/>
        <w:t xml:space="preserve"> 32 с.</w:t>
      </w:r>
    </w:p>
    <w:p w:rsidR="00D11C66" w:rsidRPr="00D11C66" w:rsidRDefault="00D11C66" w:rsidP="00D11C66">
      <w:pPr>
        <w:numPr>
          <w:ilvl w:val="0"/>
          <w:numId w:val="38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Кунах О.М., Жуков О.В., Пахомов О.Є. Оцінка стану екосистем та їх компонентів (обрані теми): Навчально-методичний посібник, - Дніпро: вид-во Ліра, 2020. –  7</w:t>
      </w:r>
      <w:proofErr w:type="spellStart"/>
      <w:r w:rsidRPr="00D11C6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7</w:t>
      </w:r>
      <w:proofErr w:type="spellEnd"/>
      <w:r w:rsidRPr="00D11C66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Кунах О. М., Пахомов О.Є. Викладацька практика: методичний посібник. – Дніпро: вид-во Ліра, 2020 – 14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Навчальний процес у вищій педагогічній школі / За ред. О. Г. Мороза. – К.: НПУ, 2001. – 338 с. 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Нагаєв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М. Методика викладання у вищій школі. – К.: Центр учбової літератури, 2007. – 232 с. 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Основи екології. Навчальний посібник для вищих навчальних закладів / О. М. Адаменко, Я. В.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Коденко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 М.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Консевич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; Ін-т менеджменту та економіки "Галицька академія". - 2-е вид. - К. : Центр навчальної літератури, 2005. - 314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Педагогічна практика : програми, навчально-виховна робота студентів, звітність : навчально-методичний посібник для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пед.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/ І. В. Мороз, О. Г. Ярошенко, Т. С.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Іваха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[та ін.] ; [за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ред.: І. В. Мороза, Т. С.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Івахи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]. – К. : НПУ ім. М. П. Драгоманова, 2012. – 222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Педагогічна практика студентів хіміко-біологічного факультету  : за кредитно-трансферною системою організації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процесу : навчально-методичний посібник / А. В. Степанюк, В. В.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Грубінко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 С. Барна [та ін.]. – [Вид. 2-ге,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доповн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і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переробл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.]. – Тернопіль : [Вектор], 2009. – 80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Потіш Л. А. Екологія: навчальний посібник /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Людвиг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Потіш. - К. : Знання, 2008. - 271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Сухарев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С. М. Основи екології та охорони довкілля : Навчальний посібник / Сергій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Сухарев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Степан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Чундак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Оксана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Сухарева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Мін-во освіти і науки України, Ужгородський нац. ун-т. - К. : Центр навчальної літератури, 2006. - 391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Терлецька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Ю.Ефективність фахової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діяль-ності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викладачів  вищих  навчальних  закладів: 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пе-дагогічно-психологічний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аспект  /  Ю. 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Терлецька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// Вища школа. – 2014. – № 1. – С. 81–89.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Термена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Б. К. Охорона та раціональне використання природних ресурсів: Навчальний посібник / Борис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Термена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Світлана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Літвіненко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,. - Чернівці :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Книги-ХХІ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2005. - 167 с. 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Туркот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Т.  І. Педагогіка  вищої  школи  : 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на-вчальний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посібник для студентів вищих навчальних закладів / Т. І.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Туркот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К. : Кондор, 2011. – 628 с.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Харківська А. А.Системний підхід та інновації в сучасній педагогічній науці / А. А. Харківська // Міжнародний науковий вісник : збірник наукових статей  за матеріалами  ХХVІІ 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Міжнар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наук.-практ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(Ужгород – Будапешт, 26–29 листопада 2013 року) / ред.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В. І.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Смоланка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(голова), І. В.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Артьо-мов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  ін.  –  Ужгород  :  ДВНЗ  «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УжНУ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 2014.  –  Вип. </w:t>
      </w:r>
    </w:p>
    <w:p w:rsidR="00D11C66" w:rsidRPr="00D11C66" w:rsidRDefault="00D11C66" w:rsidP="00D11C66">
      <w:pPr>
        <w:numPr>
          <w:ilvl w:val="0"/>
          <w:numId w:val="38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Чернілевський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 В] Педагогіка вищої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шко-ли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підручник / Д. В.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Чернілевський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І. С.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Гамрець-кий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О. А. Зарічанський; за ред. Д. В. </w:t>
      </w:r>
      <w:proofErr w:type="spellStart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Чернілевсько-го</w:t>
      </w:r>
      <w:proofErr w:type="spellEnd"/>
      <w:r w:rsidRPr="00D11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Вінниця : АМСКП : Глобус-Прес, 2010. – 408 с</w:t>
      </w:r>
    </w:p>
    <w:p w:rsidR="00D11C66" w:rsidRPr="00D11C66" w:rsidRDefault="00D11C66" w:rsidP="00D11C6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  <w:t>Додаткова</w:t>
      </w:r>
    </w:p>
    <w:p w:rsidR="00D11C66" w:rsidRPr="00D11C66" w:rsidRDefault="00D11C66" w:rsidP="00D11C66">
      <w:pPr>
        <w:numPr>
          <w:ilvl w:val="0"/>
          <w:numId w:val="3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uk-UA"/>
        </w:rPr>
        <w:t>Данильян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О. Проблема взаємовпливу правового виховання і державотворчого процесу: українські реалії / О.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uk-UA"/>
        </w:rPr>
        <w:t>Данильян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, О.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uk-UA"/>
        </w:rPr>
        <w:t>Петришин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// Вісник Академії правових наук України. – 2010. – № 1. – С. 28–39. – Б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11C66">
        <w:rPr>
          <w:rFonts w:ascii="Times New Roman" w:hAnsi="Times New Roman" w:cs="Times New Roman"/>
          <w:sz w:val="24"/>
          <w:szCs w:val="24"/>
          <w:lang w:val="uk-UA"/>
        </w:rPr>
        <w:t>бл</w:t>
      </w:r>
      <w:r w:rsidRPr="00D11C6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11C66">
        <w:rPr>
          <w:rFonts w:ascii="Times New Roman" w:hAnsi="Times New Roman" w:cs="Times New Roman"/>
          <w:sz w:val="24"/>
          <w:szCs w:val="24"/>
          <w:lang w:val="uk-UA"/>
        </w:rPr>
        <w:t>огр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>. в п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11C66">
        <w:rPr>
          <w:rFonts w:ascii="Times New Roman" w:hAnsi="Times New Roman" w:cs="Times New Roman"/>
          <w:sz w:val="24"/>
          <w:szCs w:val="24"/>
          <w:lang w:val="uk-UA"/>
        </w:rPr>
        <w:t>дрядк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>. прим.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Довбня О. Аналіз результатів опитування студентської молоді щодо рівня сформованості громадянської та політичної свідомості / О. Довбня // Освіта і управління =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Education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and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Management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uk-UA"/>
        </w:rPr>
        <w:t>наук.-практ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>. журн. – 2012. – Том 15, № 2/3. – С. 119–126.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Зеленов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Є.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Педагогічні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основи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планетарного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студентської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молоді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Євген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Зеленов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школа. – 2008. – № 12. – С. 62–78</w:t>
      </w:r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портр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Іваній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О. М.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Організаційні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засади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правової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компетентності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майбутнього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вчителя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 О. М.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Іваній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– 2011. – № 3. – С. 39–44. –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Библиогр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>.: с. 44.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Кислицька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, О.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Необхідність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правової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працівників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 Ю.О.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Кислицька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– 2007. – № 4. – С. 75–78. –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Библиогр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>.: с. 78.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Краснощок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І. П.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виховної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вищому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закладі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 І. П.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Краснощок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Наукові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записки КДПУ.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Серія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Педагогічні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науки / ред. В. В. Радул [та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.]. –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Кіровоград</w:t>
      </w:r>
      <w:proofErr w:type="spellEnd"/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РВВ КДПУ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В.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Винниченка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, 2011. –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Вип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>. 93. – С. 83–88.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Куліненко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Л.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чинник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громадянських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якостей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особистості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 Л.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Куліненко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теорет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та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наук</w:t>
      </w:r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>метод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часоп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– 2013. – № 2. – С. 33–39. – </w:t>
      </w:r>
      <w:proofErr w:type="spellStart"/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>ібліогр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кінці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ст.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Міщенко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Н.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І.</w:t>
      </w:r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>іально-педагогічний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супровід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особистісно-професійного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майбутніх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фахівців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засобами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студентської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субкультури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 Н. І.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Міщенко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Соціальна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педагогіка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теорія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та практика. – 2012. – № 2. – С. 78–84. –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Бібліогр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.: с. 83 (6 </w:t>
      </w:r>
      <w:proofErr w:type="spellStart"/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назв</w:t>
      </w:r>
      <w:proofErr w:type="spellEnd"/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Мартиненко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С.Особливості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педагогічної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взаємодії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суб’єктів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навчально-виховного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наукової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>іально-гуманітарної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 С.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Мартиненко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школа. – 2009. – № 11. – С. 32–39.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Методичні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рекомендації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бесід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інструктажі</w:t>
      </w:r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, годин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кураторів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травматизму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Безпека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життєдіяльності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>. – 2011. – № 9. – С. 27–33</w:t>
      </w:r>
    </w:p>
    <w:p w:rsidR="00D11C66" w:rsidRPr="00D11C66" w:rsidRDefault="00D11C66" w:rsidP="00D11C6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Рацул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А. Б.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Організаційно-педагогічна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куратора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особистості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студента / А. Б.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Рацул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, В. Я.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Новицький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Наукові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записки КДПУ.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Серія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Педагогічні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науки. –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Кіровоград</w:t>
      </w:r>
      <w:proofErr w:type="spellEnd"/>
      <w:proofErr w:type="gramStart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 КДПУ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. В.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Винниченка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 xml:space="preserve">, 2004. –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ru-RU"/>
        </w:rPr>
        <w:t>Вип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ru-RU"/>
        </w:rPr>
        <w:t>. 54. – С. 149–152.</w:t>
      </w:r>
    </w:p>
    <w:p w:rsidR="00D11C66" w:rsidRPr="00D11C66" w:rsidRDefault="00D11C66" w:rsidP="00D11C66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C66">
        <w:rPr>
          <w:rFonts w:ascii="Times New Roman" w:hAnsi="Times New Roman" w:cs="Times New Roman"/>
          <w:sz w:val="24"/>
          <w:szCs w:val="24"/>
          <w:lang w:val="ru-RU"/>
        </w:rPr>
        <w:t>Руденко С</w:t>
      </w:r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. С.,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uk-UA"/>
        </w:rPr>
        <w:t>Костишин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С. С., Морозова Т. В. – Загальна екологія. Практичний курс. Частина 1.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uk-UA"/>
        </w:rPr>
        <w:t>Урбоекосистеми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>. – Чернівці. Книги – ХХІ, 2008. – 343 с.</w:t>
      </w:r>
    </w:p>
    <w:p w:rsidR="00D11C66" w:rsidRPr="00D11C66" w:rsidRDefault="00D11C66" w:rsidP="00D11C66">
      <w:pPr>
        <w:widowControl w:val="0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D11C66">
        <w:rPr>
          <w:rFonts w:ascii="Times New Roman" w:hAnsi="Times New Roman" w:cs="Times New Roman"/>
          <w:sz w:val="24"/>
          <w:szCs w:val="24"/>
          <w:lang w:val="ru-RU"/>
        </w:rPr>
        <w:t>Руденко С</w:t>
      </w:r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. С., </w:t>
      </w:r>
      <w:proofErr w:type="spellStart"/>
      <w:r w:rsidRPr="00D11C66">
        <w:rPr>
          <w:rFonts w:ascii="Times New Roman" w:hAnsi="Times New Roman" w:cs="Times New Roman"/>
          <w:sz w:val="24"/>
          <w:szCs w:val="24"/>
          <w:lang w:val="uk-UA"/>
        </w:rPr>
        <w:t>Костишин</w:t>
      </w:r>
      <w:proofErr w:type="spellEnd"/>
      <w:r w:rsidRPr="00D11C66">
        <w:rPr>
          <w:rFonts w:ascii="Times New Roman" w:hAnsi="Times New Roman" w:cs="Times New Roman"/>
          <w:sz w:val="24"/>
          <w:szCs w:val="24"/>
          <w:lang w:val="uk-UA"/>
        </w:rPr>
        <w:t xml:space="preserve"> С. С., Морозова Т. В. – Загальна екологія. Практичний курс. Частина 2. Природні наземні екосистеми. - Чернівці. Книги – ХХІ, 2008. – 343 с.</w:t>
      </w:r>
    </w:p>
    <w:p w:rsidR="005C30B2" w:rsidRPr="0014659C" w:rsidRDefault="005C30B2">
      <w:pPr>
        <w:widowControl w:val="0"/>
        <w:spacing w:line="240" w:lineRule="auto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sectPr w:rsidR="005C30B2" w:rsidRPr="0014659C" w:rsidSect="003858C4">
      <w:pgSz w:w="11906" w:h="16838"/>
      <w:pgMar w:top="1440" w:right="707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F1E"/>
    <w:multiLevelType w:val="hybridMultilevel"/>
    <w:tmpl w:val="39ACCA68"/>
    <w:lvl w:ilvl="0" w:tplc="4E9663E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096802B4"/>
    <w:multiLevelType w:val="multilevel"/>
    <w:tmpl w:val="CE729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632676"/>
    <w:multiLevelType w:val="hybridMultilevel"/>
    <w:tmpl w:val="4B72A444"/>
    <w:lvl w:ilvl="0" w:tplc="578294D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1B50B00"/>
    <w:multiLevelType w:val="multilevel"/>
    <w:tmpl w:val="5B1E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553AB"/>
    <w:multiLevelType w:val="multilevel"/>
    <w:tmpl w:val="F86E4B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64E71E9"/>
    <w:multiLevelType w:val="multilevel"/>
    <w:tmpl w:val="7E6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637A3"/>
    <w:multiLevelType w:val="hybridMultilevel"/>
    <w:tmpl w:val="6952FFD0"/>
    <w:lvl w:ilvl="0" w:tplc="3AD42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F2F6C"/>
    <w:multiLevelType w:val="hybridMultilevel"/>
    <w:tmpl w:val="14C4E742"/>
    <w:lvl w:ilvl="0" w:tplc="D9401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E349C"/>
    <w:multiLevelType w:val="hybridMultilevel"/>
    <w:tmpl w:val="EE48F738"/>
    <w:lvl w:ilvl="0" w:tplc="C3CE5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34D"/>
    <w:multiLevelType w:val="hybridMultilevel"/>
    <w:tmpl w:val="D57A3F82"/>
    <w:lvl w:ilvl="0" w:tplc="293C2DD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>
    <w:nsid w:val="26CA3C68"/>
    <w:multiLevelType w:val="hybridMultilevel"/>
    <w:tmpl w:val="7206E592"/>
    <w:lvl w:ilvl="0" w:tplc="B9405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F093C"/>
    <w:multiLevelType w:val="hybridMultilevel"/>
    <w:tmpl w:val="2854744E"/>
    <w:lvl w:ilvl="0" w:tplc="00644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F33B8"/>
    <w:multiLevelType w:val="multilevel"/>
    <w:tmpl w:val="9284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304C3"/>
    <w:multiLevelType w:val="hybridMultilevel"/>
    <w:tmpl w:val="B456D0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2EED0076"/>
    <w:multiLevelType w:val="hybridMultilevel"/>
    <w:tmpl w:val="07D27926"/>
    <w:lvl w:ilvl="0" w:tplc="5DBEB65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>
    <w:nsid w:val="317C1678"/>
    <w:multiLevelType w:val="hybridMultilevel"/>
    <w:tmpl w:val="C8A2705E"/>
    <w:lvl w:ilvl="0" w:tplc="66C8654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>
    <w:nsid w:val="35FF232F"/>
    <w:multiLevelType w:val="hybridMultilevel"/>
    <w:tmpl w:val="EBD0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40EB5"/>
    <w:multiLevelType w:val="multilevel"/>
    <w:tmpl w:val="E8E4F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E632818"/>
    <w:multiLevelType w:val="hybridMultilevel"/>
    <w:tmpl w:val="D98E9606"/>
    <w:lvl w:ilvl="0" w:tplc="4B72C3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5C8"/>
    <w:multiLevelType w:val="hybridMultilevel"/>
    <w:tmpl w:val="1A963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E94B1E"/>
    <w:multiLevelType w:val="hybridMultilevel"/>
    <w:tmpl w:val="060AF9FC"/>
    <w:lvl w:ilvl="0" w:tplc="6562B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F5ED0"/>
    <w:multiLevelType w:val="hybridMultilevel"/>
    <w:tmpl w:val="AB880FC8"/>
    <w:lvl w:ilvl="0" w:tplc="F73A2012">
      <w:start w:val="2"/>
      <w:numFmt w:val="decimal"/>
      <w:lvlText w:val="%1."/>
      <w:lvlJc w:val="left"/>
      <w:pPr>
        <w:ind w:left="18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3936B62"/>
    <w:multiLevelType w:val="hybridMultilevel"/>
    <w:tmpl w:val="C0B46E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34308"/>
    <w:multiLevelType w:val="hybridMultilevel"/>
    <w:tmpl w:val="A82E71E8"/>
    <w:lvl w:ilvl="0" w:tplc="A152609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4">
    <w:nsid w:val="5B516AFD"/>
    <w:multiLevelType w:val="hybridMultilevel"/>
    <w:tmpl w:val="5C7ECCCE"/>
    <w:lvl w:ilvl="0" w:tplc="D9401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61C8C"/>
    <w:multiLevelType w:val="hybridMultilevel"/>
    <w:tmpl w:val="24E81D3C"/>
    <w:lvl w:ilvl="0" w:tplc="293C2DD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F1B"/>
    <w:multiLevelType w:val="hybridMultilevel"/>
    <w:tmpl w:val="1F8A585A"/>
    <w:lvl w:ilvl="0" w:tplc="982C48D2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517C2F"/>
    <w:multiLevelType w:val="multilevel"/>
    <w:tmpl w:val="C060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465EF6"/>
    <w:multiLevelType w:val="hybridMultilevel"/>
    <w:tmpl w:val="08AACCDE"/>
    <w:lvl w:ilvl="0" w:tplc="73E6DBB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9">
    <w:nsid w:val="6C5E2317"/>
    <w:multiLevelType w:val="hybridMultilevel"/>
    <w:tmpl w:val="83582BDE"/>
    <w:lvl w:ilvl="0" w:tplc="3AD420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61E80"/>
    <w:multiLevelType w:val="hybridMultilevel"/>
    <w:tmpl w:val="45B6E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C61F62"/>
    <w:multiLevelType w:val="hybridMultilevel"/>
    <w:tmpl w:val="B754B44E"/>
    <w:lvl w:ilvl="0" w:tplc="87B83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773C4"/>
    <w:multiLevelType w:val="hybridMultilevel"/>
    <w:tmpl w:val="4F70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D74F1"/>
    <w:multiLevelType w:val="hybridMultilevel"/>
    <w:tmpl w:val="4240DF82"/>
    <w:lvl w:ilvl="0" w:tplc="603C42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8150B"/>
    <w:multiLevelType w:val="hybridMultilevel"/>
    <w:tmpl w:val="DB3E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16"/>
  </w:num>
  <w:num w:numId="5">
    <w:abstractNumId w:val="31"/>
  </w:num>
  <w:num w:numId="6">
    <w:abstractNumId w:val="19"/>
  </w:num>
  <w:num w:numId="7">
    <w:abstractNumId w:val="30"/>
  </w:num>
  <w:num w:numId="8">
    <w:abstractNumId w:val="3"/>
  </w:num>
  <w:num w:numId="9">
    <w:abstractNumId w:val="5"/>
  </w:num>
  <w:num w:numId="10">
    <w:abstractNumId w:val="27"/>
  </w:num>
  <w:num w:numId="11">
    <w:abstractNumId w:val="34"/>
  </w:num>
  <w:num w:numId="12">
    <w:abstractNumId w:val="21"/>
  </w:num>
  <w:num w:numId="13">
    <w:abstractNumId w:val="11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22"/>
  </w:num>
  <w:num w:numId="19">
    <w:abstractNumId w:val="13"/>
  </w:num>
  <w:num w:numId="20">
    <w:abstractNumId w:val="33"/>
  </w:num>
  <w:num w:numId="21">
    <w:abstractNumId w:val="7"/>
  </w:num>
  <w:num w:numId="22">
    <w:abstractNumId w:val="24"/>
  </w:num>
  <w:num w:numId="23">
    <w:abstractNumId w:val="20"/>
  </w:num>
  <w:num w:numId="24">
    <w:abstractNumId w:val="35"/>
  </w:num>
  <w:num w:numId="25">
    <w:abstractNumId w:val="8"/>
  </w:num>
  <w:num w:numId="26">
    <w:abstractNumId w:val="29"/>
  </w:num>
  <w:num w:numId="27">
    <w:abstractNumId w:val="6"/>
  </w:num>
  <w:num w:numId="28">
    <w:abstractNumId w:val="0"/>
  </w:num>
  <w:num w:numId="29">
    <w:abstractNumId w:val="15"/>
  </w:num>
  <w:num w:numId="30">
    <w:abstractNumId w:val="28"/>
  </w:num>
  <w:num w:numId="31">
    <w:abstractNumId w:val="2"/>
  </w:num>
  <w:num w:numId="32">
    <w:abstractNumId w:val="14"/>
  </w:num>
  <w:num w:numId="33">
    <w:abstractNumId w:val="9"/>
  </w:num>
  <w:num w:numId="34">
    <w:abstractNumId w:val="25"/>
  </w:num>
  <w:num w:numId="35">
    <w:abstractNumId w:val="23"/>
  </w:num>
  <w:num w:numId="36">
    <w:abstractNumId w:val="26"/>
  </w:num>
  <w:num w:numId="37">
    <w:abstractNumId w:val="12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356688"/>
    <w:rsid w:val="000204B8"/>
    <w:rsid w:val="00060133"/>
    <w:rsid w:val="000619E2"/>
    <w:rsid w:val="00071B5A"/>
    <w:rsid w:val="0007747A"/>
    <w:rsid w:val="000B31D0"/>
    <w:rsid w:val="000C4911"/>
    <w:rsid w:val="00117F3D"/>
    <w:rsid w:val="00124755"/>
    <w:rsid w:val="00136854"/>
    <w:rsid w:val="0014659C"/>
    <w:rsid w:val="00180452"/>
    <w:rsid w:val="0019766E"/>
    <w:rsid w:val="001E0FDE"/>
    <w:rsid w:val="001E415A"/>
    <w:rsid w:val="00217D69"/>
    <w:rsid w:val="00244F80"/>
    <w:rsid w:val="00251892"/>
    <w:rsid w:val="00265895"/>
    <w:rsid w:val="0028292B"/>
    <w:rsid w:val="002B0914"/>
    <w:rsid w:val="002C1BCB"/>
    <w:rsid w:val="002C7390"/>
    <w:rsid w:val="0034470F"/>
    <w:rsid w:val="00352745"/>
    <w:rsid w:val="003548EB"/>
    <w:rsid w:val="00356688"/>
    <w:rsid w:val="00357A8B"/>
    <w:rsid w:val="003750CC"/>
    <w:rsid w:val="003858C4"/>
    <w:rsid w:val="003B4BE3"/>
    <w:rsid w:val="003C464D"/>
    <w:rsid w:val="003E48C6"/>
    <w:rsid w:val="003F6A51"/>
    <w:rsid w:val="004066A2"/>
    <w:rsid w:val="00407EA1"/>
    <w:rsid w:val="00413E71"/>
    <w:rsid w:val="00464392"/>
    <w:rsid w:val="004661AC"/>
    <w:rsid w:val="004D7CF1"/>
    <w:rsid w:val="00583BA5"/>
    <w:rsid w:val="00587FBC"/>
    <w:rsid w:val="005C30B2"/>
    <w:rsid w:val="005D1D08"/>
    <w:rsid w:val="005F7AC6"/>
    <w:rsid w:val="00642345"/>
    <w:rsid w:val="006438D5"/>
    <w:rsid w:val="0065316E"/>
    <w:rsid w:val="00656B1F"/>
    <w:rsid w:val="00690493"/>
    <w:rsid w:val="006B0C8D"/>
    <w:rsid w:val="006D0236"/>
    <w:rsid w:val="00713DB3"/>
    <w:rsid w:val="00720B54"/>
    <w:rsid w:val="007A5581"/>
    <w:rsid w:val="007B465A"/>
    <w:rsid w:val="007C131B"/>
    <w:rsid w:val="007C48AC"/>
    <w:rsid w:val="007F17DB"/>
    <w:rsid w:val="007F5733"/>
    <w:rsid w:val="00883E9E"/>
    <w:rsid w:val="00884313"/>
    <w:rsid w:val="008B15D8"/>
    <w:rsid w:val="008B40A1"/>
    <w:rsid w:val="009451F4"/>
    <w:rsid w:val="009472D8"/>
    <w:rsid w:val="00960A80"/>
    <w:rsid w:val="0097234F"/>
    <w:rsid w:val="00974867"/>
    <w:rsid w:val="009948E6"/>
    <w:rsid w:val="009B0B54"/>
    <w:rsid w:val="009C0287"/>
    <w:rsid w:val="009E7BF7"/>
    <w:rsid w:val="00A151C1"/>
    <w:rsid w:val="00A26CD1"/>
    <w:rsid w:val="00A37178"/>
    <w:rsid w:val="00A373A0"/>
    <w:rsid w:val="00A37AF2"/>
    <w:rsid w:val="00A54554"/>
    <w:rsid w:val="00A55657"/>
    <w:rsid w:val="00AA0D0B"/>
    <w:rsid w:val="00AA0FDD"/>
    <w:rsid w:val="00AB1C81"/>
    <w:rsid w:val="00AB5204"/>
    <w:rsid w:val="00AB571D"/>
    <w:rsid w:val="00AF5E69"/>
    <w:rsid w:val="00B13572"/>
    <w:rsid w:val="00B2198B"/>
    <w:rsid w:val="00B34C4E"/>
    <w:rsid w:val="00B42EF0"/>
    <w:rsid w:val="00B70602"/>
    <w:rsid w:val="00B941AC"/>
    <w:rsid w:val="00BB22B3"/>
    <w:rsid w:val="00BB769F"/>
    <w:rsid w:val="00BF7DAC"/>
    <w:rsid w:val="00C53D02"/>
    <w:rsid w:val="00C57899"/>
    <w:rsid w:val="00C73701"/>
    <w:rsid w:val="00CD676F"/>
    <w:rsid w:val="00CD7719"/>
    <w:rsid w:val="00CF6EB6"/>
    <w:rsid w:val="00D11C66"/>
    <w:rsid w:val="00D2254A"/>
    <w:rsid w:val="00D237B1"/>
    <w:rsid w:val="00D650BB"/>
    <w:rsid w:val="00D928E6"/>
    <w:rsid w:val="00DB622F"/>
    <w:rsid w:val="00DC7307"/>
    <w:rsid w:val="00DD0271"/>
    <w:rsid w:val="00DE0C04"/>
    <w:rsid w:val="00DE3610"/>
    <w:rsid w:val="00DF4C4C"/>
    <w:rsid w:val="00E0360D"/>
    <w:rsid w:val="00E20EA0"/>
    <w:rsid w:val="00E55B70"/>
    <w:rsid w:val="00EE47A8"/>
    <w:rsid w:val="00F672D7"/>
    <w:rsid w:val="00F84D66"/>
    <w:rsid w:val="00F93E1C"/>
    <w:rsid w:val="00F94483"/>
    <w:rsid w:val="00F97EFF"/>
    <w:rsid w:val="00FD4CA7"/>
    <w:rsid w:val="00FD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a">
    <w:name w:val="Hyperlink"/>
    <w:uiPriority w:val="99"/>
    <w:unhideWhenUsed/>
    <w:rsid w:val="007C131B"/>
    <w:rPr>
      <w:color w:val="0000FF"/>
      <w:u w:val="single"/>
    </w:rPr>
  </w:style>
  <w:style w:type="paragraph" w:styleId="ab">
    <w:name w:val="Normal (Web)"/>
    <w:aliases w:val="Обычный (Интернет)"/>
    <w:basedOn w:val="a"/>
    <w:uiPriority w:val="99"/>
    <w:unhideWhenUsed/>
    <w:qFormat/>
    <w:rsid w:val="00883E9E"/>
    <w:pPr>
      <w:widowControl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customStyle="1" w:styleId="10">
    <w:name w:val="Обычный1"/>
    <w:rsid w:val="00883E9E"/>
    <w:pPr>
      <w:spacing w:line="276" w:lineRule="auto"/>
    </w:pPr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883E9E"/>
    <w:pPr>
      <w:spacing w:after="200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2021-10-05T06:44:00Z</dcterms:created>
  <dcterms:modified xsi:type="dcterms:W3CDTF">2021-10-05T06:44:00Z</dcterms:modified>
</cp:coreProperties>
</file>